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23 120 vom 21. August 2025</w:t>
      </w:r>
    </w:p>
    <w:p>
      <w:r>
        <w:t>VS Kantonsgericht, 2025-08-21, FR</w:t>
      </w:r>
    </w:p>
    <w:p>
      <w:r>
        <w:rPr>
          <w:b/>
        </w:rPr>
        <w:t xml:space="preserve">Quelle: </w:t>
      </w:r>
      <w:r>
        <w:t>https://mcp.opencaselaw.ch/entscheid/vs_gerichte_S1 23 120</w:t>
      </w:r>
    </w:p>
    <w:p>
      <w:r>
        <w:t>FR: VS_GERICHTE S1 23 120 du 21 août 2025</w:t>
      </w:r>
    </w:p>
    <w:p>
      <w:r>
        <w:t>IT: VS_GERICHTE S1 23 120 del 21 agosto 2025</w:t>
      </w:r>
    </w:p>
    <w:p>
      <w:pPr>
        <w:pStyle w:val="Heading2"/>
      </w:pPr>
      <w:r>
        <w:t>Regeste</w:t>
      </w:r>
    </w:p>
    <w:p>
      <w:r>
        <w:t>S1 23 120 ARRÊT DU 21 AOÛT 2025 Tribunal cantonal du Valais Cour des assurances sociales Composition : Candido Prada, président ; Dr Thierry Schnyder et Christophe Joris, juges ; Mireille Allegro, greffière en la cause X _________, recourant, représenté par Maître Olivier Couchepin, avocat, à Martigny contre OFFICE CANTONAL AI DU VALAIS, intimé (art. 17 LPGA ; révision, nouvelle demande écartée)</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22 août 2023, le recours dirigé contre la décision du 19 juin précédent a été interjeté dans le délai légal de trente jours, prolongé des féries (art. 38 al. 4 et 60 LPGA), et a été adressé à l'instance compétente (art. 56 et 57 LPGA ; art. 69 al. 1 LAI ; art. 81a al. 1 LPJA). Il répond par ailleurs aux autres conditions formelles de recevabilité (art. 61 let. b LPGA), de sorte que la Cour doit entrer en matière.</w:t>
      </w:r>
    </w:p>
    <w:p>
      <w:r>
        <w:rPr>
          <w:b/>
        </w:rPr>
        <w:t>E. 2</w:t>
      </w:r>
    </w:p>
    <w:p>
      <w:r>
        <w:t>Est litigieux le point de savoir si l’état de santé du recourant s’est aggravé depuis la décision du 28 septembre 2020 lui octroyant une rente limitée dans le temps, au point de lui ouvrir un droit à des prestations AI.</w:t>
      </w:r>
    </w:p>
    <w:p>
      <w:r>
        <w:rPr>
          <w:b/>
        </w:rPr>
        <w:t>E. 2.1.1</w:t>
      </w:r>
    </w:p>
    <w:p>
      <w:r>
        <w:t>A teneur de l’article 17 LPGA (dans sa teneur au 1er janvier 2022), la rente d’invalidité est, d’office ou sur demande, révisée pour l’avenir, à savoir augmentée, réduite ou supprimée, lorsque le taux d’invalidité de l’assuré : a. subit une modification d’au moins 5 points de pourcentage, ou b. atteint 100%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 68 consid. 2 et la référence ;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 113 V 273 consid. 1a et les références).</w:t>
      </w:r>
    </w:p>
    <w:p>
      <w:r>
        <w:t>- 10 -</w:t>
      </w:r>
    </w:p>
    <w:p>
      <w:r>
        <w:rPr>
          <w:b/>
        </w:rPr>
        <w:t>E. 2.1.2</w:t>
      </w:r>
    </w:p>
    <w:p>
      <w:r>
        <w:t>Pour pouvoir calculer le degré d'invalidité, l'administration ou le juge a besoin de documents que le médecin ou d'autres spécialistes doivent lui fournir. La tâche du médecin consiste à porter un jugement sur l'état de santé et à indiquer dans quelle mesure et pour quelles activités l'assuré est incapable de travailler, le cas échéant quels travaux on peut encore raisonnablement exiger de lui (ATF 140 V 193 consid. 3.2 ; 125 V 256 consid. 4 ; 115 V 134 consid. 2).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ch.1109).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Selon le principe de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 ; arrêt du Tribunal fédéral des assurances U 492/00 du 31 juillet 2001 consid. 3b et les références). A ces conditions, la jurisprudence accorde la même force probante aux appréciations des spécialistes du service médical de l'assureur (LOCHER, Grundriss des Sozialversicherungsrechts, 3ème éd., 2003, p. 332 note 37 ; CALATAYUD,</w:t>
      </w:r>
    </w:p>
    <w:p>
      <w:r>
        <w:t>- 11 - La pratique dans l'assurance-accidents, in Colloques et journées d'études 1999-2001, IRAL Lausanne 2002, p. 548). Cela vaut également pour les rapports du SMR lorsque ceux-ci respectent les conditions auxquelles sont soumises les expertises faites en dehors de l'administration pour se voir conférer une valeur probante (ATF 137 V 210 consid. 1.2.1 ; SVR 2009 IV n° 53 consid. 3.3.2). Ce n’est qu’en présence de circonstances particulières que les doutes au sujet de l’impartialité d’une appréciation peuvent être considérés comme objectivement fondés (ATF 134 V 231 consid. 5.1 ; 125 V 352 consid. 3a ; 122 V 160 consid. 1c avec les renvois).</w:t>
      </w:r>
    </w:p>
    <w:p>
      <w:r>
        <w:rPr>
          <w:b/>
        </w:rPr>
        <w:t>E. 2.2</w:t>
      </w:r>
    </w:p>
    <w:p>
      <w:r>
        <w:t>En l’occurrence, le recourant prétend que les certificats établis par le Dr J _________ rapportent des éléments médicaux nouveaux allant dans le sens du aggravation de son état de santé, contrairement à ce qu’estime le SMR.</w:t>
      </w:r>
    </w:p>
    <w:p>
      <w:r>
        <w:rPr>
          <w:b/>
        </w:rPr>
        <w:t>E. 2.2.1</w:t>
      </w:r>
    </w:p>
    <w:p>
      <w:r>
        <w:t>A l’époque de la décision du 28 septembre 2020 (page 416), le recourant souffrait de lombalgies chroniques depuis le 25 septembre 2017 et d’un status après vertébroplastie L3, L4 et L5 le 8 février 2019. Lors de l’expertise de novembre 2019, la Dresse K _________ avait constaté que l’assuré était limité dans les positions debout ou assises prolongées, les positions penché en avant (flexion et rotation du tronc), les travaux lourds et les ports répétés de charges lourdes. L’assuré pouvait marcher entre 30 et 45 min (page 275). Lors du contrôle du 21 juillet 2020, le Dr J _________ avait ordonné une IRM qui avait montré une diminution des anomalies post-traumatiques des vertèbres lombaires. A l’examen clinique, il avait noté les limitations fonctionnelles suivantes : pas de rotation et flexion du tronc et pas de port de charges supérieures à 10 kilos. Il ne s’était pas prononcé sur le temps ou le périmètre de marche (page 409). Selon le SMR, l’état de santé de l’assuré était compatible avec l’exercice de n’importe quelle activité lucrative légère et adaptée à 100% avec un rendement normal depuis le 1er novembre 2019, respectant les limitations fonctionnelles suivantes : position de travail alternée, port de charges maximum de 10 kilos de manière occasionnelle, pas de travaux lourds, pas de position en porte à faux ou avec rotation du tronc (page 411).</w:t>
      </w:r>
    </w:p>
    <w:p>
      <w:r>
        <w:rPr>
          <w:b/>
        </w:rPr>
        <w:t>E. 2.2.2</w:t>
      </w:r>
    </w:p>
    <w:p>
      <w:r>
        <w:t>A l’appui de sa nouvelle demande du 6 mai 2022 (page 528), l’assuré a déposé deux rapports du Dr J _________ des 3 mai 2022 (page 539) et 8 juin 2022 (page 542), ainsi qu’un certificat d’incapacité de travail du 21 avril 2023 ne contenant aucun élément médical (page 594).</w:t>
      </w:r>
    </w:p>
    <w:p>
      <w:r>
        <w:t>- 12 - Dans ses rapports des 3 mai et 8 juin 2022, le Dr J _________ a confirmé les diagnostics et a indiqué qu’après la première infiltration, le patient avait ressenti une amélioration significative des lombalgies durant 6 heures, puis que les symptômes étaient revenus avec une intensité de 6-7 sur 10. Il a maintenu le traitement antalgique et de physiothérapie, en précisant que l’état du dos ne changerait plus significativement et que les mouvements étaient réduits en flexion et rotation, le port de charges limité à 8 kilos, la position assise ou debout à 60 min et la distance de marche à 500 mètres. Comme l’a relevé le SMR dans son avis du 5 mai 2023 (page 597), hormis la distance de marche qui semble reposer sur les dires du patient et non pas sur une observation clinique, les limitations fonctionnelles citées par le Dr J _________ ne sont pas fondamentalement différentes de celles retenues auparavant, qui correspondent aux restrictions classiques en cas de problèmes lombaires. En outre, la Cour se rallie à l’analyse détaillée et aux explications convaincantes du SMR qui ne sont remises en cause par aucun rapport médical d’une valeur probante prépondérante. Dans ses rapports des 18 septembre et 23 octobre 2023, postérieurs à la décision entreprise, le Dr J _________ a certes mentionné une augmentation des douleurs à 7-8 sur 10, mais a indiqué que la situation était stable d’un point de vue radiologique et n’a pas modifié le traitement. Dans son recours, l’assuré se contente d’affirmer que le certificat médical du 21 avril 2023 constituerait un élément médical objectif nouveau. Or ce document ne contient aucun descriptif clinique et se limite a attesté une incapacité de travail totale dans l’activité habituelle, sans se prononcer sur la capacité de travail dans une activité adaptée. Dans ces conditions, à l’instar du SMR dans son avis du 14 novembre 2023, il sied de conclure à l’absence d’aggravation objective de l’état de santé du recourant justifiant une nouvelle appréciation de sa capacité de travail résiduelle par rapport à septembre 2020.</w:t>
      </w:r>
    </w:p>
    <w:p>
      <w:r>
        <w:rPr>
          <w:b/>
        </w:rPr>
        <w:t>E. 2.3</w:t>
      </w:r>
    </w:p>
    <w:p>
      <w:r>
        <w:t>; 135 V 297 consid. 5.2). Le Tribunal fédéral a considéré, pour des raisons liées au respect du principe constitutionnel de l'égalité de traitement, qu'il n'y avait pas lieu de tenir compte de données salariales régionales, et à plus forte raison cantonales (arrêts du Tribunal fédéral 9C_535/2019 du 31 octobre 2019 consid. 4 ; 8C_744/2011 du 25 avril 2012 consid. 5.2 et les références, in SVR 2012 UV n° 26 p. 93 ; voir également arrêts du Tribunal fédéral I 820/06 du 4 septembre 2007 consid. 3.3 et U 75/03 du 12 octobre 2006 consid. 8, in SVR 2007 UV n° 17 p. 56). Dans un arrêt récent 9C_197/2024 du 12 août 2024, il a estimé que l’argument du recourant selon lequel les différences salariales existant entre les cantons conduisaient</w:t>
      </w:r>
    </w:p>
    <w:p>
      <w:r>
        <w:t>- 14 - à discriminer les travailleurs issus des cantons « dits pauvres », comme le Valais, ne justifiait pas de s’écarter de la jurisprudence constante en matière de référence à l’ESS et d’abattement (voir consid. 5.3.4 de l’arrêt). Le grief du recourant tombe dès lors à faux.</w:t>
      </w:r>
    </w:p>
    <w:p>
      <w:r>
        <w:rPr>
          <w:b/>
        </w:rPr>
        <w:t>E. 3</w:t>
      </w:r>
    </w:p>
    <w:p>
      <w:r>
        <w:t>Le recourant conteste le calcul du taux d’invalidité, respectivement les revenus sans et avec invalidité pris en compte.</w:t>
      </w:r>
    </w:p>
    <w:p>
      <w:r>
        <w:rPr>
          <w:b/>
        </w:rPr>
        <w:t>E. 3.1</w:t>
      </w:r>
    </w:p>
    <w:p>
      <w:r>
        <w:t>S’agissant du revenu sans invalidité, il conteste la prise en compte du salaire qu’il aurait réalisé en 2018. En règle générale, le revenu hypothétique de la personne valide doit être évalué sur la base du dernier revenu effectivement réalisé avant l'atteinte à la santé (ULRICH MEYER-</w:t>
      </w:r>
    </w:p>
    <w:p>
      <w:r>
        <w:t>- 13 - BLASER, Bundesgesetz über die Invalidenversicherung, Zurich 1997, p. 205). Compte tenu de ses capacités professionnelles et des circonstances personnelles, on prend en considération ses chances réelles d'avancement compromises par le handicap (VSI 2002 p. 161 consid. 3b et la référence),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(RAMA 2000 n° U 400 p. 381 consid. 2a et la référence, 1993 n° U 168 p. 100 consid. 3b et la référence). En l’occurrence, il ressort des indications fournies par l’employeur que le salaire de l’assuré auprès de l’entreprise s’élevait à 5568 fr. au 1er janvier 2017 et aurait été le même en 2018 s’il n’avait pas cessé de travailler en raison de son accident. Le recourant ne prétend pas qu’il aurait changé d’activité sans son atteinte ou aurait pu être promu à un poste plus élevé. Ainsi, c’est ce montant, adapté à l’évolution des salaires de la branche jusqu’en 2023, qui doit être retenu dans la comparaison des revenus. L’intimé avait d’ailleurs déjà tenu compte de ce revenu dans sa décision du 28 septembre 2020, sans que l’assuré ne s’y oppose.</w:t>
      </w:r>
    </w:p>
    <w:p>
      <w:r>
        <w:rPr>
          <w:b/>
        </w:rPr>
        <w:t>E. 3.2</w:t>
      </w:r>
    </w:p>
    <w:p>
      <w:r>
        <w:t>Le recourant conteste également le revenu d’invalide, fondé sur les statistiques, qui ne tiendrait pas comptes des particularités cantonales.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(ATF 148 V 174 consid. 6.2 ; 139 V 592 consid.</w:t>
      </w:r>
    </w:p>
    <w:p>
      <w:r>
        <w:rPr>
          <w:b/>
        </w:rPr>
        <w:t>E. 4</w:t>
      </w:r>
    </w:p>
    <w:p>
      <w:r>
        <w:t>Compte tenu de la pleine capacité de travail résiduelle reconnue et du taux d’invalidité inférieur au taux approximatif de 20% ouvrant le droit à un reclassement professionnel (cf. ATF 139 V 399 consid. 5.3), c’est à juste titre que l’intimé a refusé au recourant le droit à des mesures d’ordre professionnel.</w:t>
      </w:r>
    </w:p>
    <w:p>
      <w:r>
        <w:rPr>
          <w:b/>
        </w:rPr>
        <w:t>E. 5</w:t>
      </w:r>
    </w:p>
    <w:p>
      <w:r>
        <w:t>Mal fondé, le recours est rejeté et la décision entreprise du 19 juin 2023 est confirmées sans qu’il y ait lieu de mettre en œuvre les mesures d’instruction sollicitées par le recourant (interrogatoire des parties, édiction du dossier SUVA, expertise médicale, expertise comptable et édition par Me Kamerzin de l’initiative parlementaire AI déposée),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145 I 167 consid. 4.1).</w:t>
      </w:r>
    </w:p>
    <w:p>
      <w:r>
        <w:rPr>
          <w:b/>
        </w:rPr>
        <w:t>E. 6.1</w:t>
      </w:r>
    </w:p>
    <w:p>
      <w:r>
        <w:t>Le recourant, qui n’a pas obtenu gain de cause, supportera les frais arrêtés à 500 fr. (art. 69 al. 1bis LAI). Son indigence ayant toutefois été reconnue par décision présidentielle du 28 septembre 2023 (S3 23 40) et aucun indice ne permettant de retenir que sa situation économique se serait modifiée depuis lors, le recourant est dispensé de verser les frais de la cause, lesquels sont provisoirement supportés par la caisse de l’Etat du Valais.</w:t>
      </w:r>
    </w:p>
    <w:p>
      <w:r>
        <w:rPr>
          <w:b/>
        </w:rPr>
        <w:t>E. 6.2</w:t>
      </w:r>
    </w:p>
    <w:p>
      <w:r>
        <w:t>Me Couchepin ayant été désigné comme avocat d’office dès le 22 août 2023, il doit être rémunéré au tarif de l'assistance judiciaire. Selon l'article 30 alinéa 1 LTar,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11'000 francs. Enfin, le montant des honoraires du conseil juridique doit être évalué sur la base d'une pondération de</w:t>
      </w:r>
    </w:p>
    <w:p>
      <w:r>
        <w:t>- 15 -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Me Couchepin a déposé le 23 janvier 2024 une liste des opérations effectuées durant la procédure de recours du 22 août 2023 au 23 janvier 2024, puis une 2e liste le 5 mars 2024 couvrant toute la période antérieure au recours, qui n’a pas à être prise en compte (la décision d’assistance judiciaire S3 23 40 remontant au dépôt du recours et de la requête AJ), ainsi que des opérations effectuées postérieurement à la clôture de l’échange d’écritures le 25 janvier 2024, dont deux envois au Tribunal les 27 et 29 février 2024 pouvant être considérés comme justifiés. Au vu des critères précités, de la teneur des pièces de procédures, de l’ampleur du dossier, des listes des opérations produites et du tarif applicable en assistance judiciaire, la Cour fixe les honoraires de Me Couchepin pour la procédure de recours à un montant arrondi de 875 fr., TVA comprise, correspondant à environ 4,5 heures de travail utile (art. 26 al. 1 et 40 al. 1 LTar). Quant aux débours, ils sont arrêtés à 125 fr. sur la base du dossier et de la première note de frais. Partant, le montant de 1000 fr. sera versé à Me Couchepin par l'Etat du Valais dans le cadre de l'assistance judiciaire.</w:t>
      </w:r>
    </w:p>
    <w:p>
      <w:r>
        <w:rPr>
          <w:b/>
        </w:rPr>
        <w:t>E. 6.3</w:t>
      </w:r>
    </w:p>
    <w:p>
      <w:r>
        <w:t>Le recourant est toutefois rendu attentif au fait qu’il devra rembourser la caisse de l’Etat du Valais pour les prestations avancés, s’il devient ultérieurement en mesure de le faire (art. 10 LAJ ; RVJ 2000 p.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